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3.png" ContentType="image/png"/>
  <Override PartName="/word/media/rId34.png" ContentType="image/png"/>
  <Override PartName="/word/media/rId47.png" ContentType="image/png"/>
  <Override PartName="/word/media/rId46.png" ContentType="image/png"/>
  <Override PartName="/word/media/rId51.png" ContentType="image/png"/>
  <Override PartName="/word/media/rId39.png" ContentType="image/png"/>
  <Override PartName="/word/media/rId54.png" ContentType="image/png"/>
  <Override PartName="/word/media/rId50.png" ContentType="image/png"/>
  <Override PartName="/word/media/rId4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34"/>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BodyText"/>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A reach is defined as a continuous piece of surface water with similar hydrologic characteristics</w:t>
      </w:r>
      <w:r>
        <w:t xml:space="preserve"> </w:t>
      </w:r>
      <w:r>
        <w:t xml:space="preserve">(USGS (US Geological Survey)</w:t>
      </w:r>
      <w:r>
        <w:t xml:space="preserve"> </w:t>
      </w:r>
      <w:hyperlink w:anchor="ref-USGS14">
        <w:r>
          <w:rPr>
            <w:rStyle w:val="Hyperlink"/>
          </w:rPr>
          <w:t xml:space="preserve">2014</w:t>
        </w:r>
      </w:hyperlink>
      <w:r>
        <w:t xml:space="preserve">)</w:t>
      </w:r>
      <w:r>
        <w:t xml:space="preserve">.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individual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5" w:name="building-and-validating-landscape-models"/>
      <w:r>
        <w:t xml:space="preserve">Building and validating landscape models</w:t>
      </w:r>
      <w:bookmarkEnd w:id="35"/>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6" w:name="san-gabriel-river-watershed-case-study"/>
      <w:r>
        <w:t xml:space="preserve">San Gabriel River watershed case study</w:t>
      </w:r>
      <w:bookmarkEnd w:id="36"/>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CaptionedFigure"/>
      </w:pPr>
      <w:r>
        <w:drawing>
          <wp:inline>
            <wp:extent cx="5046020"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 1." title="" id="1" name="Picture"/>
            <a:graphic>
              <a:graphicData uri="http://schemas.openxmlformats.org/drawingml/2006/picture">
                <pic:pic>
                  <pic:nvPicPr>
                    <pic:cNvPr descr="figs/sgrshd.png" id="0" name="Picture"/>
                    <pic:cNvPicPr>
                      <a:picLocks noChangeArrowheads="1" noChangeAspect="1"/>
                    </pic:cNvPicPr>
                  </pic:nvPicPr>
                  <pic:blipFill>
                    <a:blip r:embed="rId37"/>
                    <a:stretch>
                      <a:fillRect/>
                    </a:stretch>
                  </pic:blipFill>
                  <pic:spPr bwMode="auto">
                    <a:xfrm>
                      <a:off x="0" y="0"/>
                      <a:ext cx="5046020"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w:t>
      </w:r>
      <w:r>
        <w:t xml:space="preserve"> </w:t>
      </w:r>
      <w:r>
        <w:t xml:space="preserve">1</w:t>
      </w:r>
      <w:r>
        <w:t xml:space="preserve">.</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partipation to include a variety of mangement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processes of decision-making.</w:t>
      </w:r>
    </w:p>
    <w:p>
      <w:pPr>
        <w:pStyle w:val="Heading2"/>
      </w:pPr>
      <w:bookmarkStart w:id="38" w:name="reach-classification-site-performance-and-prioritization"/>
      <w:r>
        <w:t xml:space="preserve">Reach classification, site performance, and prioritization</w:t>
      </w:r>
      <w:bookmarkEnd w:id="38"/>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the CSCI expectations at a reach with chosen CSCI threshold, where expectations could be below, above, or overlapping the threshold. Stream reaches with a range of CSCI score expectations entirely below the thresholds were considered likely constrained, whereas those with expectations entirely above were considered likely unconstrained. Reaches with score expectations that included the CSCI thresholds were considered possibly constrained or possibly unconstrained, where the distinction was based on location of the median expectation of a reach relative to the threshold.</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w:t>
      </w:r>
    </w:p>
    <w:p>
      <w:pPr>
        <w:pStyle w:val="BodyText"/>
      </w:pPr>
      <w:r>
        <w:t xml:space="preserve">CSCI scores from biomonitoring data were used to define performance of a sample site relative to the stream reach classification (Figure</w:t>
      </w:r>
      <w:r>
        <w:t xml:space="preserve"> </w:t>
      </w:r>
      <w:r>
        <w:t xml:space="preserve">3</w:t>
      </w:r>
      <w:r>
        <w:t xml:space="preserve">d). For each of the four reach classifications (likely constrained, possibly constrained, possibly unconstrained, and likely unconstrained), the site performance was defined relative to the bounds of the expected CSCI scores. This provided a definition of site performance that can be used to understand the observed score relative to the biological context of a reach. Sites with observed scores above the upper limit of the reach expectation (e.g., above the 95th percentile of expected scores) were considered</w:t>
      </w:r>
      <w:r>
        <w:t xml:space="preserve"> </w:t>
      </w:r>
      <w:r>
        <w:t xml:space="preserve">“</w:t>
      </w:r>
      <w:r>
        <w:t xml:space="preserve">over-performing</w:t>
      </w:r>
      <w:r>
        <w:t xml:space="preserve">”</w:t>
      </w:r>
      <w:r>
        <w:t xml:space="preserve"> </w:t>
      </w:r>
      <w:r>
        <w:t xml:space="preserve">and sites below the lower limit were</w:t>
      </w:r>
      <w:r>
        <w:t xml:space="preserve"> </w:t>
      </w:r>
      <w:r>
        <w:t xml:space="preserve">“</w:t>
      </w:r>
      <w:r>
        <w:t xml:space="preserve">under-performing</w:t>
      </w:r>
      <w:r>
        <w:t xml:space="preserve">”</w:t>
      </w:r>
      <w:r>
        <w:t xml:space="preserve">. Sites with CSCI scores within the range of expectations were as</w:t>
      </w:r>
      <w:r>
        <w:t xml:space="preserve"> </w:t>
      </w:r>
      <w:r>
        <w:t xml:space="preserve">“</w:t>
      </w:r>
      <w:r>
        <w:t xml:space="preserve">expected</w:t>
      </w:r>
      <w:r>
        <w:t xml:space="preserve">”</w:t>
      </w:r>
      <w:r>
        <w:t xml:space="preserve">.</w:t>
      </w:r>
    </w:p>
    <w:p>
      <w:pPr>
        <w:pStyle w:val="BodyText"/>
      </w:pPr>
      <w:r>
        <w:t xml:space="preserve">Site performance categories were further split relative to location to the selected CSCI threshold. This final split was created with the intent that description of site scores relative to a defined threshold (e.g., impairment threshold or restoration target) should also be considered. Specifically, a fourth category of site performance for each reach classifcation was added to define a site as above or below the threshold. For a likely unconstrained reach, underperforming sites below the minimum expected score were additionally defined as being above or below the CSCI threshold. Similarly, overperforming sites above the maximum expected score in a likely constrained reach were additionally defined as being below or above the CSCI threshold. For possibly constrained and possibly unconstrained reaches, sites that were performing as expected were addtionally defined as being below or above the CSCI threshold. In total, sixteen site types were defined for the three reach classification and three site performance classifications (Table</w:t>
      </w:r>
      <w:r>
        <w:t xml:space="preserve"> </w:t>
      </w:r>
      <w:r>
        <w:t xml:space="preserve">1</w:t>
      </w:r>
      <w:r>
        <w:t xml:space="preserve">).</w:t>
      </w:r>
    </w:p>
    <w:p>
      <w:pPr>
        <w:pStyle w:val="TableCaption"/>
      </w:pPr>
      <w:r>
        <w:t xml:space="preserve">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Site performance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BodyText"/>
      </w:pPr>
      <w:r>
        <w:t xml:space="preserve">Each site type was used to define a priority as a demonstration of how results from the landscape model can help achieve different stream management objectives. This final process relied exclusively on feedback from the stakeholder group that represented interests in monitoring, regulation, restoration, and protection. An interactive online application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Stakeholders from each sector were tasked with identifying their relevant priorities by ranking each site type from high to low priority using a blank template 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CaptionedFigure"/>
      </w:pPr>
      <w:r>
        <w:drawing>
          <wp:inline>
            <wp:extent cx="5943600" cy="5349240"/>
            <wp:effectExtent b="0" l="0" r="0" t="0"/>
            <wp:docPr descr="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 https://beckmw.shinyapps.io/sgrrmp_classify/" title="" id="1" name="Picture"/>
            <a:graphic>
              <a:graphicData uri="http://schemas.openxmlformats.org/drawingml/2006/picture">
                <pic:pic>
                  <pic:nvPicPr>
                    <pic:cNvPr descr="figs/app.png" id="0" name="Picture"/>
                    <pic:cNvPicPr>
                      <a:picLocks noChangeArrowheads="1" noChangeAspect="1"/>
                    </pic:cNvPicPr>
                  </pic:nvPicPr>
                  <pic:blipFill>
                    <a:blip r:embed="rId4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w:t>
      </w:r>
      <w:r>
        <w:t xml:space="preserve"> </w:t>
      </w:r>
      <w:hyperlink r:id="rId41">
        <w:r>
          <w:rPr>
            <w:rStyle w:val="Hyperlink"/>
          </w:rPr>
          <w:t xml:space="preserve">https://beckmw.shinyapps.io/sgrrmp_classify/</w:t>
        </w:r>
      </w:hyperlink>
    </w:p>
    <w:p>
      <w:pPr>
        <w:pStyle w:val="Heading2"/>
      </w:pPr>
      <w:bookmarkStart w:id="42" w:name="factors-explaining-constraints-and-sensitivity-analysis"/>
      <w:r>
        <w:t xml:space="preserve">Factors explaining constraints and sensitivity analysis</w:t>
      </w:r>
      <w:bookmarkEnd w:id="42"/>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from the landscape model (or certainty,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First, the framework can accommodate degrees of certainty in the model by allowing variation in the range of scores that are used to define a stream reach classification.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stringent threshold or decreased for a more relaxed threshold. The combined effects of changing both the certainty in the model and the CSCI threshold were evaluated to estimate the changes in stream miles in each classification and the number of sites in each priority type.</w:t>
      </w:r>
    </w:p>
    <w:p>
      <w:pPr>
        <w:pStyle w:val="Heading2"/>
      </w:pPr>
      <w:bookmarkStart w:id="43" w:name="unclassified-reaches"/>
      <w:r>
        <w:t xml:space="preserve">Unclassified reaches</w:t>
      </w:r>
      <w:bookmarkEnd w:id="43"/>
    </w:p>
    <w:p>
      <w:pPr>
        <w:pStyle w:val="FirstParagraph"/>
      </w:pPr>
      <w:r>
        <w:t xml:space="preserve">Finally, some stream reaches were unclassifed following application of the landscape model to the statewide hydrography dataset. Unclassified reaches occurred when insufficient data in the StreamCat database were 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 preliminary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other (neither of the two) was identified by using kmeans clustering of percentage land use for each reach</w:t>
      </w:r>
      <w:r>
        <w:t xml:space="preserve"> </w:t>
      </w:r>
      <w:r>
        <w:t xml:space="preserve">(MacQueen</w:t>
      </w:r>
      <w:r>
        <w:t xml:space="preserve"> </w:t>
      </w:r>
      <w:hyperlink w:anchor="ref-MacQueen67">
        <w:r>
          <w:rPr>
            <w:rStyle w:val="Hyperlink"/>
          </w:rPr>
          <w:t xml:space="preserve">1967</w:t>
        </w:r>
      </w:hyperlink>
      <w:r>
        <w:t xml:space="preserve">)</w:t>
      </w:r>
      <w:r>
        <w:t xml:space="preserve">. Typically urban and agricultural reaches were identified based on the largest centroid average of the clusters for each land use type, whereas the other category was based on the minimum sum of the centroid values for the two. The expected ranges for each land use type in each region were based on averages of ranges across all reaches in the identified clusters.</w:t>
      </w:r>
    </w:p>
    <w:p>
      <w:pPr>
        <w:pStyle w:val="Heading1"/>
      </w:pPr>
      <w:bookmarkStart w:id="44" w:name="results"/>
      <w:r>
        <w:t xml:space="preserve">Results</w:t>
      </w:r>
      <w:bookmarkEnd w:id="44"/>
    </w:p>
    <w:p>
      <w:pPr>
        <w:pStyle w:val="Heading2"/>
      </w:pPr>
      <w:bookmarkStart w:id="45" w:name="state-wide-patterns"/>
      <w:r>
        <w:t xml:space="preserve">State-wide patterns</w:t>
      </w:r>
      <w:bookmarkEnd w:id="45"/>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Correlation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predcitions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region where strong gradients from open to urban lands occur in many watersheds. Conversely, the model did not perform well in regions where developed landscapes were less common, such as the Sierra Nevada region. Figure</w:t>
      </w:r>
      <w:r>
        <w:t xml:space="preserve"> </w:t>
      </w:r>
      <w:r>
        <w:t xml:space="preserve">5</w:t>
      </w:r>
      <w:r>
        <w:t xml:space="preserve"> </w:t>
      </w:r>
      <w:r>
        <w:t xml:space="preserve">demonstrate a decrease in the model residuals as a function of increasing urban or agricultural land.</w:t>
      </w:r>
    </w:p>
    <w:p>
      <w:pPr>
        <w:pStyle w:val="CaptionedFigure"/>
      </w:pPr>
      <w:r>
        <w:drawing>
          <wp:inline>
            <wp:extent cx="5504749" cy="5504749"/>
            <wp:effectExtent b="0" l="0" r="0" t="0"/>
            <wp:docPr descr="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are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ecoregion regions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ecoregion regions boundaries are also shown (see Figure</w:t>
      </w:r>
      <w:r>
        <w:t xml:space="preserve"> </w:t>
      </w:r>
      <w:r>
        <w:t xml:space="preserve">1</w:t>
      </w:r>
      <w:r>
        <w:t xml:space="preserve">).</w:t>
      </w:r>
    </w:p>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km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over-scoring if the observed scores are above the range of expectations at a reach, expected if within the range, and under-scoring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Heading2"/>
      </w:pPr>
      <w:bookmarkStart w:id="48" w:name="case-study"/>
      <w:r>
        <w:t xml:space="preserve">Case study</w:t>
      </w:r>
      <w:bookmarkEnd w:id="48"/>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watersehd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row,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(investigate, protect, restore) identified by the stakeholder group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4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Heading2"/>
      </w:pPr>
      <w:bookmarkStart w:id="52" w:name="drivers-of-biological-constraints-and-sensitivity-analysis"/>
      <w:r>
        <w:t xml:space="preserve">Drivers of biological constraints and sensitivity analysis</w:t>
      </w:r>
      <w:bookmarkEnd w:id="52"/>
    </w:p>
    <w:p>
      <w:pPr>
        <w:pStyle w:val="FirstParagraph"/>
      </w:pPr>
      <w:r>
        <w:t xml:space="preserve">Importance measures from random forest models identified key variables that explained the differences between constrained and unconstrained reaches between each region</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BodyText"/>
      </w:pPr>
      <w:r>
        <w:t xml:space="preserve">The effects of changing certainty in the CSCI predictions and an example CSCI threshold were evaluated for nine scenarios to identify the change in stream reach classifcations (Figure</w:t>
      </w:r>
      <w:r>
        <w:t xml:space="preserve"> </w:t>
      </w:r>
      <w:r>
        <w:t xml:space="preserve">11</w:t>
      </w:r>
      <w:r>
        <w:t xml:space="preserve">). Changes were evaluated as the percentage of stream length statewide and within major regions for each reach classification and scenario. In general, decreasing the certainty of predictions from the landscape model by choosing a more narrow range of scores (5th to 95th, 25th to 75th, 45th to 55th) increased the number of streams from the possible to likely category in both constrained and unconstrained reaches. Similarly, changing the CSCI threshodl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CaptionedFigure"/>
      </w:pPr>
      <w:r>
        <w:drawing>
          <wp:inline>
            <wp:extent cx="5943600" cy="5094514"/>
            <wp:effectExtent b="0" l="0" r="0" t="0"/>
            <wp:docPr descr="Figure 11 Changes in stream reach classes by region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length in reach region (including statewide)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4"/>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length in reach region (including statewide) for each classification is shown for each scenario. CV: Central Valley, CH: Chaparral, DM: Deserts Modoc, NC: North Coast, SN: Sierra Nevada, SC: South Coast.</w:t>
      </w:r>
    </w:p>
    <w:p>
      <w:pPr>
        <w:pStyle w:val="Heading2"/>
      </w:pPr>
      <w:bookmarkStart w:id="55" w:name="unclassified-reaches-1"/>
      <w:r>
        <w:t xml:space="preserve">Unclassified reaches</w:t>
      </w:r>
      <w:bookmarkEnd w:id="55"/>
    </w:p>
    <w:p>
      <w:pPr>
        <w:pStyle w:val="FirstParagraph"/>
      </w:pPr>
      <w:r>
        <w:t xml:space="preserve">Ranges of expected CSCI scores for typical reaches in urban, agricultural, and neither (other) of the settings are shown in table</w:t>
      </w:r>
      <w:r>
        <w:t xml:space="preserve"> </w:t>
      </w:r>
      <w:r>
        <w:t xml:space="preserve">5</w:t>
      </w:r>
      <w:r>
        <w:t xml:space="preserve">. These typical values are shown for more to less certainty in the range of predictions. Unclassified reaches with insufficient data in StreamCat to use the landscape models can be qualitatively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56" w:name="discussion"/>
      <w:r>
        <w:t xml:space="preserve">Discussion</w:t>
      </w:r>
      <w:bookmarkEnd w:id="56"/>
    </w:p>
    <w:p>
      <w:pPr>
        <w:pStyle w:val="Compact"/>
        <w:numPr>
          <w:numId w:val="1004"/>
          <w:ilvl w:val="0"/>
        </w:numPr>
      </w:pPr>
      <w:r>
        <w:t xml:space="preserve">What is the value of identifying constrained channels?</w:t>
      </w:r>
    </w:p>
    <w:p>
      <w:pPr>
        <w:pStyle w:val="Compact"/>
        <w:numPr>
          <w:numId w:val="1005"/>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5"/>
          <w:ilvl w:val="1"/>
        </w:numPr>
      </w:pPr>
      <w:r>
        <w:t xml:space="preserve">Use of more data to develop context of assessment</w:t>
      </w:r>
    </w:p>
    <w:p>
      <w:pPr>
        <w:pStyle w:val="Compact"/>
        <w:numPr>
          <w:numId w:val="1005"/>
          <w:ilvl w:val="1"/>
        </w:numPr>
      </w:pPr>
      <w:r>
        <w:t xml:space="preserve">Targeted management for desired outcomes</w:t>
      </w:r>
    </w:p>
    <w:p>
      <w:pPr>
        <w:pStyle w:val="Compact"/>
        <w:numPr>
          <w:numId w:val="1005"/>
          <w:ilvl w:val="1"/>
        </w:numPr>
      </w:pPr>
      <w:r>
        <w:t xml:space="preserve">Informing decisions about future monitoring (i.e., prioritize future monitoring locations)</w:t>
      </w:r>
    </w:p>
    <w:p>
      <w:pPr>
        <w:pStyle w:val="Compact"/>
        <w:numPr>
          <w:numId w:val="1005"/>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4"/>
          <w:ilvl w:val="0"/>
        </w:numPr>
      </w:pPr>
      <w:r>
        <w:t xml:space="preserve">What is useful about our approach compared to alternatives?</w:t>
      </w:r>
    </w:p>
    <w:p>
      <w:pPr>
        <w:pStyle w:val="Compact"/>
        <w:numPr>
          <w:numId w:val="1006"/>
          <w:ilvl w:val="1"/>
        </w:numPr>
      </w:pPr>
      <w:r>
        <w:t xml:space="preserve">Field-based methods to identify constrained channels vs. landscape modelling</w:t>
      </w:r>
    </w:p>
    <w:p>
      <w:pPr>
        <w:pStyle w:val="Compact"/>
        <w:numPr>
          <w:numId w:val="1006"/>
          <w:ilvl w:val="1"/>
        </w:numPr>
      </w:pPr>
      <w:r>
        <w:t xml:space="preserve">Related directly to biological condition and regulatory standards</w:t>
      </w:r>
    </w:p>
    <w:p>
      <w:pPr>
        <w:pStyle w:val="Compact"/>
        <w:numPr>
          <w:numId w:val="1006"/>
          <w:ilvl w:val="1"/>
        </w:numPr>
      </w:pPr>
      <w:r>
        <w:t xml:space="preserve">Results are widely corraborated by other landscape studies - land use is big determinant of macroinvert assemblage</w:t>
      </w:r>
    </w:p>
    <w:p>
      <w:pPr>
        <w:pStyle w:val="Compact"/>
        <w:numPr>
          <w:numId w:val="1004"/>
          <w:ilvl w:val="0"/>
        </w:numPr>
      </w:pPr>
      <w:r>
        <w:t xml:space="preserve">What contributed to our success in defining priorities?</w:t>
      </w:r>
    </w:p>
    <w:p>
      <w:pPr>
        <w:pStyle w:val="Compact"/>
        <w:numPr>
          <w:numId w:val="1007"/>
          <w:ilvl w:val="1"/>
        </w:numPr>
      </w:pPr>
      <w:r>
        <w:t xml:space="preserve">Stakeholder involvement guided process, contributed to achieving goals</w:t>
      </w:r>
    </w:p>
    <w:p>
      <w:pPr>
        <w:pStyle w:val="Compact"/>
        <w:numPr>
          <w:numId w:val="1007"/>
          <w:ilvl w:val="1"/>
        </w:numPr>
      </w:pPr>
      <w:r>
        <w:t xml:space="preserve">An interactive/iterative approach was used - we provided tools to facilitate (web apps) and we did not assume priorities</w:t>
      </w:r>
    </w:p>
    <w:p>
      <w:pPr>
        <w:pStyle w:val="Compact"/>
        <w:numPr>
          <w:numId w:val="1004"/>
          <w:ilvl w:val="0"/>
        </w:numPr>
      </w:pPr>
      <w:r>
        <w:t xml:space="preserve">Caveats of our aproach</w:t>
      </w:r>
    </w:p>
    <w:p>
      <w:pPr>
        <w:pStyle w:val="Compact"/>
        <w:numPr>
          <w:numId w:val="1008"/>
          <w:ilvl w:val="1"/>
        </w:numPr>
      </w:pPr>
      <w:r>
        <w:t xml:space="preserve">This analysis doesn’t truly tell us if a site can be fixed or if the conditions are truly constrained (key message, need to mention in intro)</w:t>
      </w:r>
    </w:p>
    <w:p>
      <w:pPr>
        <w:pStyle w:val="Compact"/>
        <w:numPr>
          <w:numId w:val="1008"/>
          <w:ilvl w:val="1"/>
        </w:numPr>
      </w:pPr>
      <w:r>
        <w:t xml:space="preserve">What do priorities really mean? Depends on your interests, needs, values, etc.</w:t>
      </w:r>
    </w:p>
    <w:p>
      <w:pPr>
        <w:pStyle w:val="Compact"/>
        <w:numPr>
          <w:numId w:val="1008"/>
          <w:ilvl w:val="1"/>
        </w:numPr>
      </w:pPr>
      <w:r>
        <w:t xml:space="preserve">Constrained may not always mean constrained - CSCI vs other biological indicators</w:t>
      </w:r>
    </w:p>
    <w:p>
      <w:pPr>
        <w:pStyle w:val="Compact"/>
        <w:numPr>
          <w:numId w:val="1008"/>
          <w:ilvl w:val="1"/>
        </w:numPr>
      </w:pPr>
      <w:r>
        <w:t xml:space="preserve">Site-specific approaches are warranted in certain cases</w:t>
      </w:r>
    </w:p>
    <w:p>
      <w:pPr>
        <w:pStyle w:val="Compact"/>
        <w:numPr>
          <w:numId w:val="1008"/>
          <w:ilvl w:val="1"/>
        </w:numPr>
      </w:pPr>
      <w:r>
        <w:t xml:space="preserve">Changing certainty or CSCI treshold - mechanistic effects and implications. Don’t cook the books.</w:t>
      </w:r>
    </w:p>
    <w:p>
      <w:pPr>
        <w:pStyle w:val="Compact"/>
        <w:numPr>
          <w:numId w:val="1004"/>
          <w:ilvl w:val="0"/>
        </w:numPr>
      </w:pPr>
      <w:r>
        <w:t xml:space="preserve">Future work</w:t>
      </w:r>
    </w:p>
    <w:p>
      <w:pPr>
        <w:pStyle w:val="Compact"/>
        <w:numPr>
          <w:numId w:val="1009"/>
          <w:ilvl w:val="1"/>
        </w:numPr>
      </w:pPr>
      <w:r>
        <w:t xml:space="preserve">Ability to link with other assessment tools besides CSCI</w:t>
      </w:r>
    </w:p>
    <w:p>
      <w:pPr>
        <w:pStyle w:val="Compact"/>
        <w:numPr>
          <w:numId w:val="1009"/>
          <w:ilvl w:val="1"/>
        </w:numPr>
      </w:pPr>
      <w:r>
        <w:t xml:space="preserve">Link with engineered channels study</w:t>
      </w:r>
    </w:p>
    <w:p>
      <w:pPr>
        <w:pStyle w:val="Compact"/>
        <w:numPr>
          <w:numId w:val="1009"/>
          <w:ilvl w:val="1"/>
        </w:numPr>
      </w:pPr>
      <w:r>
        <w:t xml:space="preserve">Priorities statewide</w:t>
      </w:r>
    </w:p>
    <w:p>
      <w:pPr>
        <w:pStyle w:val="Compact"/>
        <w:numPr>
          <w:numId w:val="1009"/>
          <w:ilvl w:val="1"/>
        </w:numPr>
      </w:pPr>
      <w:r>
        <w:t xml:space="preserve">Application to larger regions possible (national-scale), or how it can be applied in other areas</w:t>
      </w:r>
    </w:p>
    <w:p>
      <w:pPr>
        <w:pStyle w:val="Heading1"/>
      </w:pPr>
      <w:bookmarkStart w:id="57" w:name="supplement"/>
      <w:r>
        <w:t xml:space="preserve">Supplement</w:t>
      </w:r>
      <w:bookmarkEnd w:id="57"/>
    </w:p>
    <w:p>
      <w:pPr>
        <w:pStyle w:val="FirstParagraph"/>
      </w:pPr>
      <w:r>
        <w:t xml:space="preserve">Online application.</w:t>
      </w:r>
    </w:p>
    <w:p>
      <w:pPr>
        <w:pStyle w:val="Heading1"/>
      </w:pPr>
      <w:bookmarkStart w:id="58" w:name="references"/>
      <w:r>
        <w:t xml:space="preserve">References</w:t>
      </w:r>
      <w:bookmarkEnd w:id="58"/>
    </w:p>
    <w:bookmarkStart w:id="95" w:name="refs"/>
    <w:bookmarkStart w:id="59"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59"/>
    <w:bookmarkStart w:id="60"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0"/>
    <w:bookmarkStart w:id="62"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1">
        <w:r>
          <w:rPr>
            <w:rStyle w:val="Hyperlink"/>
          </w:rPr>
          <w:t xml:space="preserve">https://doi.org/10.1007/s10661-008-0256-z</w:t>
        </w:r>
      </w:hyperlink>
      <w:r>
        <w:t xml:space="preserve">.</w:t>
      </w:r>
    </w:p>
    <w:bookmarkEnd w:id="62"/>
    <w:bookmarkStart w:id="64"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3">
        <w:r>
          <w:rPr>
            <w:rStyle w:val="Hyperlink"/>
          </w:rPr>
          <w:t xml:space="preserve">https://doi.org/10.1016/j.ecolind.2013.07.006</w:t>
        </w:r>
      </w:hyperlink>
      <w:r>
        <w:t xml:space="preserve">.</w:t>
      </w:r>
    </w:p>
    <w:bookmarkEnd w:id="64"/>
    <w:bookmarkStart w:id="65"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5"/>
    <w:bookmarkStart w:id="67"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6">
        <w:r>
          <w:rPr>
            <w:rStyle w:val="Hyperlink"/>
          </w:rPr>
          <w:t xml:space="preserve">https://doi.org/10.1111/1752-1688.12372</w:t>
        </w:r>
      </w:hyperlink>
      <w:r>
        <w:t xml:space="preserve">.</w:t>
      </w:r>
    </w:p>
    <w:bookmarkEnd w:id="67"/>
    <w:bookmarkStart w:id="69"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68">
        <w:r>
          <w:rPr>
            <w:rStyle w:val="Hyperlink"/>
          </w:rPr>
          <w:t xml:space="preserve">https://doi.org/10.1371/journal.pone.0130710</w:t>
        </w:r>
      </w:hyperlink>
      <w:r>
        <w:t xml:space="preserve">.</w:t>
      </w:r>
    </w:p>
    <w:bookmarkEnd w:id="69"/>
    <w:bookmarkStart w:id="70"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70"/>
    <w:bookmarkStart w:id="72"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1">
        <w:r>
          <w:rPr>
            <w:rStyle w:val="Hyperlink"/>
          </w:rPr>
          <w:t xml:space="preserve">https://doi.org/10.1111/j.1752-1688.2011.00635.x</w:t>
        </w:r>
      </w:hyperlink>
      <w:r>
        <w:t xml:space="preserve">.</w:t>
      </w:r>
    </w:p>
    <w:bookmarkEnd w:id="72"/>
    <w:bookmarkStart w:id="74"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3">
        <w:r>
          <w:rPr>
            <w:rStyle w:val="Hyperlink"/>
          </w:rPr>
          <w:t xml:space="preserve">https://doi.org/10.1016/j.scitotenv.2015.07.083</w:t>
        </w:r>
      </w:hyperlink>
      <w:r>
        <w:t xml:space="preserve">.</w:t>
      </w:r>
    </w:p>
    <w:bookmarkEnd w:id="74"/>
    <w:bookmarkStart w:id="75"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75"/>
    <w:bookmarkStart w:id="76"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6"/>
    <w:bookmarkStart w:id="77"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7"/>
    <w:bookmarkStart w:id="79"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78">
        <w:r>
          <w:rPr>
            <w:rStyle w:val="Hyperlink"/>
          </w:rPr>
          <w:t xml:space="preserve">https://CRAN.R-project.org/package=quantregForest</w:t>
        </w:r>
      </w:hyperlink>
      <w:r>
        <w:t xml:space="preserve">.</w:t>
      </w:r>
    </w:p>
    <w:bookmarkEnd w:id="79"/>
    <w:bookmarkStart w:id="81"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80">
        <w:r>
          <w:rPr>
            <w:rStyle w:val="Hyperlink"/>
          </w:rPr>
          <w:t xml:space="preserve">https://doi.org/10.1016/j.watres.2004.09.002</w:t>
        </w:r>
      </w:hyperlink>
      <w:r>
        <w:t xml:space="preserve">.</w:t>
      </w:r>
    </w:p>
    <w:bookmarkEnd w:id="81"/>
    <w:bookmarkStart w:id="82"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2"/>
    <w:bookmarkStart w:id="83"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3"/>
    <w:bookmarkStart w:id="84"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4"/>
    <w:bookmarkStart w:id="85"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5"/>
    <w:bookmarkStart w:id="87"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6">
        <w:r>
          <w:rPr>
            <w:rStyle w:val="Hyperlink"/>
          </w:rPr>
          <w:t xml:space="preserve">https://doi.org/10.1111/gec3.12039</w:t>
        </w:r>
      </w:hyperlink>
      <w:r>
        <w:t xml:space="preserve">.</w:t>
      </w:r>
    </w:p>
    <w:bookmarkEnd w:id="87"/>
    <w:bookmarkStart w:id="89"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88">
        <w:r>
          <w:rPr>
            <w:rStyle w:val="Hyperlink"/>
          </w:rPr>
          <w:t xml:space="preserve">https://doi.org/10.1007/s10661-010-1385-8</w:t>
        </w:r>
      </w:hyperlink>
      <w:r>
        <w:t xml:space="preserve">.</w:t>
      </w:r>
    </w:p>
    <w:bookmarkEnd w:id="89"/>
    <w:bookmarkStart w:id="91"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90">
        <w:r>
          <w:rPr>
            <w:rStyle w:val="Hyperlink"/>
          </w:rPr>
          <w:t xml:space="preserve">https://doi.org/10.1046/j.1365-2427.2001.00758.x</w:t>
        </w:r>
      </w:hyperlink>
      <w:r>
        <w:t xml:space="preserve">.</w:t>
      </w:r>
    </w:p>
    <w:bookmarkEnd w:id="91"/>
    <w:bookmarkStart w:id="93"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2">
        <w:r>
          <w:rPr>
            <w:rStyle w:val="Hyperlink"/>
          </w:rPr>
          <w:t xml:space="preserve">https://doi.org/10.1111/j.1365-2664.2008.01548.x</w:t>
        </w:r>
      </w:hyperlink>
      <w:r>
        <w:t xml:space="preserve">.</w:t>
      </w:r>
    </w:p>
    <w:bookmarkEnd w:id="93"/>
    <w:bookmarkStart w:id="94" w:name="ref-USGS14"/>
    <w:p>
      <w:pPr>
        <w:pStyle w:val="Bibliography"/>
      </w:pPr>
      <w:r>
        <w:t xml:space="preserve">USGS (US Geological Survey). 2014. “National Hydrography Dataset available on the World Wide Web.”</w:t>
      </w:r>
    </w:p>
    <w:bookmarkEnd w:id="94"/>
    <w:bookmarkEnd w:id="9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hyperlink" Id="rId78"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1" Target="https://doi.org/10.1007/s10661-008-0256-z" TargetMode="External" /><Relationship Type="http://schemas.openxmlformats.org/officeDocument/2006/relationships/hyperlink" Id="rId88" Target="https://doi.org/10.1007/s10661-010-1385-8" TargetMode="External" /><Relationship Type="http://schemas.openxmlformats.org/officeDocument/2006/relationships/hyperlink" Id="rId63" Target="https://doi.org/10.1016/j.ecolind.2013.07.006" TargetMode="External" /><Relationship Type="http://schemas.openxmlformats.org/officeDocument/2006/relationships/hyperlink" Id="rId73" Target="https://doi.org/10.1016/j.scitotenv.2015.07.083" TargetMode="External" /><Relationship Type="http://schemas.openxmlformats.org/officeDocument/2006/relationships/hyperlink" Id="rId80" Target="https://doi.org/10.1016/j.watres.2004.09.002" TargetMode="External" /><Relationship Type="http://schemas.openxmlformats.org/officeDocument/2006/relationships/hyperlink" Id="rId90" Target="https://doi.org/10.1046/j.1365-2427.2001.00758.x" TargetMode="External" /><Relationship Type="http://schemas.openxmlformats.org/officeDocument/2006/relationships/hyperlink" Id="rId66" Target="https://doi.org/10.1111/1752-1688.12372" TargetMode="External" /><Relationship Type="http://schemas.openxmlformats.org/officeDocument/2006/relationships/hyperlink" Id="rId86" Target="https://doi.org/10.1111/gec3.12039" TargetMode="External" /><Relationship Type="http://schemas.openxmlformats.org/officeDocument/2006/relationships/hyperlink" Id="rId92" Target="https://doi.org/10.1111/j.1365-2664.2008.01548.x" TargetMode="External" /><Relationship Type="http://schemas.openxmlformats.org/officeDocument/2006/relationships/hyperlink" Id="rId71" Target="https://doi.org/10.1111/j.1752-1688.2011.00635.x" TargetMode="External" /><Relationship Type="http://schemas.openxmlformats.org/officeDocument/2006/relationships/hyperlink" Id="rId68"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78"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1" Target="https://doi.org/10.1007/s10661-008-0256-z" TargetMode="External" /><Relationship Type="http://schemas.openxmlformats.org/officeDocument/2006/relationships/hyperlink" Id="rId88" Target="https://doi.org/10.1007/s10661-010-1385-8" TargetMode="External" /><Relationship Type="http://schemas.openxmlformats.org/officeDocument/2006/relationships/hyperlink" Id="rId63" Target="https://doi.org/10.1016/j.ecolind.2013.07.006" TargetMode="External" /><Relationship Type="http://schemas.openxmlformats.org/officeDocument/2006/relationships/hyperlink" Id="rId73" Target="https://doi.org/10.1016/j.scitotenv.2015.07.083" TargetMode="External" /><Relationship Type="http://schemas.openxmlformats.org/officeDocument/2006/relationships/hyperlink" Id="rId80" Target="https://doi.org/10.1016/j.watres.2004.09.002" TargetMode="External" /><Relationship Type="http://schemas.openxmlformats.org/officeDocument/2006/relationships/hyperlink" Id="rId90" Target="https://doi.org/10.1046/j.1365-2427.2001.00758.x" TargetMode="External" /><Relationship Type="http://schemas.openxmlformats.org/officeDocument/2006/relationships/hyperlink" Id="rId66" Target="https://doi.org/10.1111/1752-1688.12372" TargetMode="External" /><Relationship Type="http://schemas.openxmlformats.org/officeDocument/2006/relationships/hyperlink" Id="rId86" Target="https://doi.org/10.1111/gec3.12039" TargetMode="External" /><Relationship Type="http://schemas.openxmlformats.org/officeDocument/2006/relationships/hyperlink" Id="rId92" Target="https://doi.org/10.1111/j.1365-2664.2008.01548.x" TargetMode="External" /><Relationship Type="http://schemas.openxmlformats.org/officeDocument/2006/relationships/hyperlink" Id="rId71" Target="https://doi.org/10.1111/j.1752-1688.2011.00635.x" TargetMode="External" /><Relationship Type="http://schemas.openxmlformats.org/officeDocument/2006/relationships/hyperlink" Id="rId68"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2018-04-18T00:30:23Z</dcterms:created>
  <dcterms:modified xsi:type="dcterms:W3CDTF">2018-04-18T00:30:23Z</dcterms:modified>
</cp:coreProperties>
</file>